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		NICE Rohrantriebe für Innensonnenschutz</w:t>
      </w:r>
    </w:p>
    <w:p/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1.1		NICE Era Inn Smart - Rohrantriebe für Innensonnenschutz</w:t>
      </w:r>
    </w:p>
    <w:p/>
    <w:p>
      <w:pPr>
        <w:jc w:val="start"/>
      </w:pPr>
      <w:r>
        <w:rPr>
          <w:rFonts w:ascii="Calibri" w:hAnsi="Calibri" w:eastAsia="Calibri" w:cs="Calibri"/>
          <w:sz w:val="22"/>
          <w:szCs w:val="22"/>
        </w:rPr>
        <w:t xml:space="preserve">NICE Rohrantriebe für Innensonnenschutz</w:t>
      </w:r>
    </w:p>
    <w:p>
      <w:pPr>
        <w:jc w:val="start"/>
      </w:pPr>
      <w:r>
        <w:rPr>
          <w:rFonts w:ascii="Calibri" w:hAnsi="Calibri" w:eastAsia="Calibri" w:cs="Calibri"/>
          <w:sz w:val="22"/>
          <w:szCs w:val="22"/>
        </w:rPr>
        <w:t xml:space="preserve">--- mit elektronischem Endschalter ---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sz w:val="22"/>
          <w:szCs w:val="22"/>
        </w:rPr>
        <w:t xml:space="preserve">Rohrantrieb für Innensonnenschutz liefern und in eine vorhandene Anlage einbauen. Die Antriebe zeichnen sich durch ein extrem leises Laufverhalten aus, besitzen eine elektronisch gesteuerte Softstart- und Softstopp-Funktion sowie eine intelligente Hinderniserkennung.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sz w:val="22"/>
          <w:szCs w:val="22"/>
        </w:rPr>
        <w:t xml:space="preserve">Die Bedienung erfolgt drahtgebunden.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sz w:val="22"/>
          <w:szCs w:val="22"/>
        </w:rPr>
        <w:t xml:space="preserve">Die Endlagen werden über ein Programmiergerät eingestellt.</w:t>
      </w:r>
    </w:p>
    <w:p>
      <w:pPr>
        <w:jc w:val="start"/>
      </w:pPr>
      <w:r>
        <w:rPr>
          <w:rFonts w:ascii="Calibri" w:hAnsi="Calibri" w:eastAsia="Calibri" w:cs="Calibri"/>
          <w:sz w:val="22"/>
          <w:szCs w:val="22"/>
        </w:rPr>
        <w:t xml:space="preserve">Der Antrieb ist dank des BUST4-Eingangs optimal für die Einbindung in andere Gebäudeautomationssysteme geeignet.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sz w:val="22"/>
          <w:szCs w:val="22"/>
        </w:rPr>
        <w:t xml:space="preserve">Versorgungsspannung:</w:t>
      </w:r>
    </w:p>
    <w:p>
      <w:pPr>
        <w:jc w:val="start"/>
      </w:pPr>
      <w:r>
        <w:rPr>
          <w:rFonts w:ascii="Calibri" w:hAnsi="Calibri" w:eastAsia="Calibri" w:cs="Calibri"/>
          <w:sz w:val="22"/>
          <w:szCs w:val="22"/>
        </w:rPr>
        <w:t xml:space="preserve">[ ] 100-240 V AC</w:t>
      </w:r>
      <w:br/>
      <w:r>
        <w:rPr>
          <w:rFonts w:ascii="Calibri" w:hAnsi="Calibri" w:eastAsia="Calibri" w:cs="Calibri"/>
          <w:sz w:val="22"/>
          <w:szCs w:val="22"/>
        </w:rPr>
        <w:t xml:space="preserve">[ ] 24 V DC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sz w:val="22"/>
          <w:szCs w:val="22"/>
        </w:rPr>
        <w:t xml:space="preserve">Einbauort: Geeignete Schutzmaßnahmen der bewohnten Räume sind einzukalkulieren.</w:t>
      </w:r>
    </w:p>
    <w:p>
      <w:pPr>
        <w:jc w:val="start"/>
      </w:pPr>
      <w:r>
        <w:rPr>
          <w:rFonts w:ascii="Calibri" w:hAnsi="Calibri" w:eastAsia="Calibri" w:cs="Calibri"/>
          <w:sz w:val="22"/>
          <w:szCs w:val="22"/>
        </w:rPr>
        <w:t xml:space="preserve">Der elektrische Anschluss erfolgt durch eine autorisierte Elektrofachkraft. Der Schaltplan zum Anschluss wird der Elektrofachkraft übergeben.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sz w:val="22"/>
          <w:szCs w:val="22"/>
        </w:rPr>
        <w:t xml:space="preserve">Wellendurchmesser (ab 35 mm):…………</w:t>
      </w:r>
    </w:p>
    <w:p>
      <w:pPr>
        <w:jc w:val="start"/>
      </w:pPr>
      <w:r>
        <w:rPr>
          <w:rFonts w:ascii="Calibri" w:hAnsi="Calibri" w:eastAsia="Calibri" w:cs="Calibri"/>
          <w:sz w:val="22"/>
          <w:szCs w:val="22"/>
        </w:rPr>
        <w:t xml:space="preserve">(Antriebsbaugrößen: S für Wellen ab 35 mm / M für Wellen ab 45 mm)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sz w:val="22"/>
          <w:szCs w:val="22"/>
        </w:rPr>
        <w:t xml:space="preserve">Höhe des Innensonnenschutz:………………………...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sz w:val="22"/>
          <w:szCs w:val="22"/>
        </w:rPr>
        <w:t xml:space="preserve">Breite des Innensonnenschutz:………………………..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sz w:val="22"/>
          <w:szCs w:val="22"/>
        </w:rPr>
        <w:t xml:space="preserve">Fabrikat: NICE Era Inn Smart……………………………… oder gleichwertig.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Menge: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Einheit: </w:t>
      </w:r>
      <w:r>
        <w:rPr>
          <w:rFonts w:ascii="Calibri" w:hAnsi="Calibri" w:eastAsia="Calibri" w:cs="Calibri"/>
          <w:sz w:val="22"/>
          <w:szCs w:val="22"/>
        </w:rPr>
        <w:t xml:space="preserve">St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GP: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 </w:t>
      </w:r>
    </w:p>
    <w:p/>
    <w:p>
      <w:pPr/>
      <w:r>
        <w:rPr/>
        <w:t xml:space="preserve">
</w:t>
      </w:r>
    </w:p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FooterStyle"/>
    </w:pPr>
    <w:r>
      <w:rPr>
        <w:rFonts w:ascii="Calibri" w:hAnsi="Calibri" w:eastAsia="Calibri" w:cs="Calibri"/>
        <w:sz w:val="20"/>
        <w:szCs w:val="20"/>
      </w:rPr>
      <w:t xml:space="preserve">Seite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von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500" w:type="dxa"/>
      <w:gridCol w:w="2500" w:type="dxa"/>
    </w:tblGrid>
    <w:tblPr>
      <w:tblW w:w="5000" w:type="pct"/>
      <w:tblLayout w:type="autofit"/>
      <w:bidiVisual w:val="0"/>
    </w:tblPr>
    <w:tr>
      <w:trPr>
        <w:trHeight w:val="" w:hRule="atLeast"/>
      </w:trPr>
      <w:tc>
        <w:tcPr>
          <w:tcW w:w="2500" w:type="dxa"/>
        </w:tcPr>
        <w:p>
          <w:pPr/>
          <w:r>
            <w:rPr>
              <w:rFonts w:ascii="Calibri" w:hAnsi="Calibri" w:eastAsia="Calibri" w:cs="Calibri"/>
              <w:sz w:val="40"/>
              <w:szCs w:val="40"/>
              <w:b w:val="1"/>
              <w:bCs w:val="1"/>
            </w:rPr>
            <w:t xml:space="preserve">elero</w:t>
          </w:r>
        </w:p>
      </w:tc>
      <w:tc>
        <w:tcPr>
          <w:tcW w:w="2500" w:type="dxa"/>
        </w:tcPr>
        <w:p>
          <w:pPr>
            <w:jc w:val="end"/>
          </w:pPr>
          <w:r>
            <w:pict>
              <v:shape type="#_x0000_t75" stroked="f" style="width:112,5pt; height:45,75pt; margin-left:0pt; margin-top:0pt; mso-position-horizontal:left; mso-position-vertical:top; mso-position-horizontal-relative:char; mso-position-vertical-relative:line;">
                <w10:wrap type="squar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de-DE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de-DE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FooterStyle">
    <w:name w:val="paragraphFooterStyle"/>
    <w:basedOn w:val="Normal"/>
    <w:pPr>
      <w:jc w:val="right"/>
    </w:pPr>
  </w:style>
  <w:style w:type="table" w:customStyle="1" w:styleId="treeElementTable">
    <w:name w:val="treeElementTable"/>
    <w:uiPriority w:val="99"/>
    <w:tblPr>
      <w:tblW w:w="0" w:type="auto"/>
      <w:tblLayout w:type="autofit"/>
      <w:bidiVisual w:val="0"/>
    </w:tblPr>
    <w:tblStylePr w:type="firstRow">
      <w:tcPr>
        <w:tcPr>
          <w:shd w:val="clear" w:fill="eaeaea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einze.de/themenkosmos/63584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2024-03-05T11:06:47+01:00</dcterms:created>
  <dcterms:modified xsi:type="dcterms:W3CDTF">2024-03-05T11:06:47+01:00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